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BB9" w:rsidRPr="006D7C5C" w:rsidRDefault="00804BB9" w:rsidP="00804BB9">
      <w:pPr>
        <w:bidi w:val="0"/>
        <w:spacing w:before="100" w:beforeAutospacing="1" w:after="100" w:afterAutospacing="1" w:line="240" w:lineRule="auto"/>
        <w:jc w:val="both"/>
        <w:rPr>
          <w:rFonts w:asciiTheme="majorBidi" w:hAnsiTheme="majorBidi" w:cstheme="majorBidi"/>
          <w:b/>
          <w:bCs/>
          <w:sz w:val="28"/>
          <w:szCs w:val="28"/>
        </w:rPr>
      </w:pPr>
      <w:r w:rsidRPr="006D7C5C">
        <w:rPr>
          <w:rFonts w:asciiTheme="majorBidi" w:hAnsiTheme="majorBidi" w:cstheme="majorBidi"/>
          <w:b/>
          <w:bCs/>
          <w:i/>
          <w:iCs/>
          <w:sz w:val="28"/>
          <w:szCs w:val="28"/>
        </w:rPr>
        <w:t>In vitro</w:t>
      </w:r>
      <w:r w:rsidRPr="006D7C5C">
        <w:rPr>
          <w:rFonts w:asciiTheme="majorBidi" w:hAnsiTheme="majorBidi" w:cstheme="majorBidi"/>
          <w:b/>
          <w:bCs/>
          <w:sz w:val="28"/>
          <w:szCs w:val="28"/>
        </w:rPr>
        <w:t xml:space="preserve"> and </w:t>
      </w:r>
      <w:r w:rsidRPr="006D7C5C">
        <w:rPr>
          <w:rFonts w:asciiTheme="majorBidi" w:hAnsiTheme="majorBidi" w:cstheme="majorBidi"/>
          <w:b/>
          <w:bCs/>
          <w:i/>
          <w:iCs/>
          <w:sz w:val="28"/>
          <w:szCs w:val="28"/>
        </w:rPr>
        <w:t>in situ</w:t>
      </w:r>
      <w:r w:rsidRPr="006D7C5C">
        <w:rPr>
          <w:rFonts w:asciiTheme="majorBidi" w:hAnsiTheme="majorBidi" w:cstheme="majorBidi"/>
          <w:b/>
          <w:bCs/>
          <w:sz w:val="28"/>
          <w:szCs w:val="28"/>
        </w:rPr>
        <w:t xml:space="preserve"> effects of </w:t>
      </w:r>
      <w:r w:rsidRPr="006D7C5C">
        <w:rPr>
          <w:rStyle w:val="highlight2"/>
          <w:rFonts w:asciiTheme="majorBidi" w:hAnsiTheme="majorBidi" w:cstheme="majorBidi"/>
          <w:b/>
          <w:bCs/>
          <w:sz w:val="28"/>
          <w:szCs w:val="28"/>
        </w:rPr>
        <w:t>Atorvastatin</w:t>
      </w:r>
      <w:r w:rsidRPr="006D7C5C">
        <w:rPr>
          <w:rFonts w:asciiTheme="majorBidi" w:hAnsiTheme="majorBidi" w:cstheme="majorBidi"/>
          <w:b/>
          <w:bCs/>
          <w:sz w:val="28"/>
          <w:szCs w:val="28"/>
        </w:rPr>
        <w:t xml:space="preserve"> and </w:t>
      </w:r>
      <w:proofErr w:type="spellStart"/>
      <w:r w:rsidRPr="006D7C5C">
        <w:rPr>
          <w:rFonts w:asciiTheme="majorBidi" w:hAnsiTheme="majorBidi" w:cstheme="majorBidi"/>
          <w:b/>
          <w:bCs/>
          <w:sz w:val="28"/>
          <w:szCs w:val="28"/>
        </w:rPr>
        <w:t>Ezetimibe</w:t>
      </w:r>
      <w:proofErr w:type="spellEnd"/>
      <w:r w:rsidRPr="006D7C5C">
        <w:rPr>
          <w:rFonts w:asciiTheme="majorBidi" w:hAnsiTheme="majorBidi" w:cstheme="majorBidi"/>
          <w:b/>
          <w:bCs/>
          <w:sz w:val="28"/>
          <w:szCs w:val="28"/>
        </w:rPr>
        <w:t xml:space="preserve"> on </w:t>
      </w:r>
      <w:r>
        <w:rPr>
          <w:rFonts w:asciiTheme="majorBidi" w:hAnsiTheme="majorBidi" w:cstheme="majorBidi"/>
          <w:b/>
          <w:bCs/>
          <w:sz w:val="28"/>
          <w:szCs w:val="28"/>
        </w:rPr>
        <w:t>intestinal efflux pump</w:t>
      </w:r>
      <w:r w:rsidRPr="006D7C5C">
        <w:rPr>
          <w:rFonts w:asciiTheme="majorBidi" w:hAnsiTheme="majorBidi" w:cstheme="majorBidi"/>
          <w:b/>
          <w:bCs/>
          <w:sz w:val="28"/>
          <w:szCs w:val="28"/>
        </w:rPr>
        <w:t xml:space="preserve"> </w:t>
      </w:r>
    </w:p>
    <w:p w:rsidR="00804BB9" w:rsidRPr="006D7C5C" w:rsidRDefault="00804BB9" w:rsidP="00804BB9">
      <w:pPr>
        <w:bidi w:val="0"/>
        <w:spacing w:before="100" w:beforeAutospacing="1" w:after="100" w:afterAutospacing="1" w:line="240" w:lineRule="auto"/>
        <w:jc w:val="both"/>
        <w:rPr>
          <w:rFonts w:asciiTheme="majorBidi" w:hAnsiTheme="majorBidi" w:cstheme="majorBidi"/>
          <w:b/>
          <w:bCs/>
          <w:sz w:val="24"/>
          <w:szCs w:val="24"/>
        </w:rPr>
      </w:pPr>
      <w:bookmarkStart w:id="0" w:name="_GoBack"/>
      <w:bookmarkEnd w:id="0"/>
      <w:r w:rsidRPr="006D7C5C">
        <w:rPr>
          <w:rFonts w:asciiTheme="majorBidi" w:hAnsiTheme="majorBidi" w:cstheme="majorBidi"/>
          <w:b/>
          <w:bCs/>
          <w:sz w:val="24"/>
          <w:szCs w:val="24"/>
        </w:rPr>
        <w:t>Abstract</w:t>
      </w:r>
    </w:p>
    <w:p w:rsidR="00804BB9" w:rsidRPr="006D7C5C" w:rsidRDefault="00804BB9" w:rsidP="00804BB9">
      <w:pPr>
        <w:bidi w:val="0"/>
        <w:spacing w:before="100" w:beforeAutospacing="1" w:after="100" w:afterAutospacing="1" w:line="240" w:lineRule="auto"/>
        <w:jc w:val="both"/>
        <w:rPr>
          <w:rFonts w:asciiTheme="majorBidi" w:hAnsiTheme="majorBidi" w:cstheme="majorBidi"/>
          <w:sz w:val="24"/>
          <w:szCs w:val="24"/>
        </w:rPr>
      </w:pPr>
      <w:r w:rsidRPr="006D7C5C">
        <w:rPr>
          <w:rFonts w:asciiTheme="majorBidi" w:hAnsiTheme="majorBidi" w:cstheme="majorBidi"/>
          <w:b/>
          <w:bCs/>
          <w:sz w:val="24"/>
          <w:szCs w:val="24"/>
        </w:rPr>
        <w:t>Introduction:</w:t>
      </w:r>
      <w:r w:rsidRPr="006D7C5C">
        <w:rPr>
          <w:rFonts w:asciiTheme="majorBidi" w:hAnsiTheme="majorBidi" w:cstheme="majorBidi"/>
          <w:sz w:val="24"/>
          <w:szCs w:val="24"/>
        </w:rPr>
        <w:t xml:space="preserve"> P-glycoprotein is a membrane transporter responsible for the active efflux and secreting passively diffused drugs out of the cell</w:t>
      </w:r>
      <w:r w:rsidRPr="006D7C5C">
        <w:rPr>
          <w:rFonts w:asciiTheme="majorBidi" w:hAnsiTheme="majorBidi" w:cstheme="majorBidi"/>
          <w:sz w:val="24"/>
          <w:szCs w:val="24"/>
          <w:rtl/>
        </w:rPr>
        <w:t xml:space="preserve">. </w:t>
      </w:r>
      <w:r w:rsidRPr="006D7C5C">
        <w:rPr>
          <w:rFonts w:asciiTheme="majorBidi" w:hAnsiTheme="majorBidi" w:cstheme="majorBidi"/>
          <w:sz w:val="24"/>
          <w:szCs w:val="24"/>
        </w:rPr>
        <w:t>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expresses on several barrier epithelia and has broad substrate specificity. It plays critical roles in the absorption, excretion, and distribution of drugs. The transport activity of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can be inhibited by a variety of drugs, which may affect the absorption of the drugs and leads to clinically significant DDIs affecting the drugs bioavailability and effectiveness. It is critical to understand which drugs are inhibitors of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so that adverse DDIs might be minimized or avoided. This study performed to investigate the effects of </w:t>
      </w:r>
      <w:r w:rsidRPr="006D7C5C">
        <w:rPr>
          <w:rStyle w:val="highlight2"/>
          <w:rFonts w:asciiTheme="majorBidi" w:hAnsiTheme="majorBidi" w:cstheme="majorBidi"/>
        </w:rPr>
        <w:t>Atorvastatin</w:t>
      </w:r>
      <w:r w:rsidRPr="006D7C5C">
        <w:rPr>
          <w:rFonts w:asciiTheme="majorBidi" w:hAnsiTheme="majorBidi" w:cstheme="majorBidi"/>
          <w:sz w:val="28"/>
          <w:szCs w:val="28"/>
        </w:rPr>
        <w:t xml:space="preserve"> </w:t>
      </w:r>
      <w:r w:rsidRPr="006D7C5C">
        <w:rPr>
          <w:rFonts w:asciiTheme="majorBidi" w:hAnsiTheme="majorBidi" w:cstheme="majorBidi"/>
          <w:sz w:val="24"/>
          <w:szCs w:val="24"/>
        </w:rPr>
        <w:t xml:space="preserve">and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on the function and expression of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w:t>
      </w:r>
    </w:p>
    <w:p w:rsidR="00804BB9" w:rsidRPr="006D7C5C" w:rsidRDefault="00804BB9" w:rsidP="00804BB9">
      <w:pPr>
        <w:bidi w:val="0"/>
        <w:spacing w:before="100" w:beforeAutospacing="1" w:after="100" w:afterAutospacing="1" w:line="240" w:lineRule="auto"/>
        <w:jc w:val="both"/>
        <w:rPr>
          <w:rFonts w:asciiTheme="majorBidi" w:hAnsiTheme="majorBidi" w:cstheme="majorBidi"/>
          <w:sz w:val="24"/>
          <w:szCs w:val="24"/>
        </w:rPr>
      </w:pPr>
      <w:r w:rsidRPr="006D7C5C">
        <w:rPr>
          <w:rFonts w:asciiTheme="majorBidi" w:hAnsiTheme="majorBidi" w:cstheme="majorBidi"/>
          <w:b/>
          <w:bCs/>
          <w:sz w:val="24"/>
          <w:szCs w:val="24"/>
        </w:rPr>
        <w:t>Methods:</w:t>
      </w:r>
      <w:r w:rsidRPr="006D7C5C">
        <w:rPr>
          <w:rFonts w:asciiTheme="majorBidi" w:hAnsiTheme="majorBidi" w:cstheme="majorBidi"/>
          <w:sz w:val="24"/>
          <w:szCs w:val="24"/>
        </w:rPr>
        <w:t xml:space="preserve"> The assay of rhodamine-123 efflux in caco-2 cells was used for in-vitro studying of the effect </w:t>
      </w:r>
      <w:r w:rsidRPr="006D7C5C">
        <w:rPr>
          <w:rStyle w:val="highlight2"/>
          <w:rFonts w:asciiTheme="majorBidi" w:hAnsiTheme="majorBidi" w:cstheme="majorBidi"/>
          <w:sz w:val="24"/>
          <w:szCs w:val="24"/>
        </w:rPr>
        <w:t>of atorvastatin</w:t>
      </w:r>
      <w:r w:rsidRPr="006D7C5C">
        <w:rPr>
          <w:rFonts w:asciiTheme="majorBidi" w:hAnsiTheme="majorBidi" w:cstheme="majorBidi"/>
          <w:sz w:val="24"/>
          <w:szCs w:val="24"/>
        </w:rPr>
        <w:t xml:space="preserve"> and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on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function. The effect of the drugs on expression of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in Caco-2 cells was assayed by Western Blotting technique. Rat </w:t>
      </w:r>
      <w:r w:rsidRPr="006D7C5C">
        <w:rPr>
          <w:rFonts w:asciiTheme="majorBidi" w:hAnsiTheme="majorBidi" w:cstheme="majorBidi"/>
          <w:i/>
          <w:iCs/>
          <w:sz w:val="24"/>
          <w:szCs w:val="24"/>
        </w:rPr>
        <w:t>in situ</w:t>
      </w:r>
      <w:r w:rsidRPr="006D7C5C">
        <w:rPr>
          <w:rFonts w:asciiTheme="majorBidi" w:hAnsiTheme="majorBidi" w:cstheme="majorBidi"/>
          <w:sz w:val="24"/>
          <w:szCs w:val="24"/>
        </w:rPr>
        <w:t xml:space="preserve"> single-pass intestinal permeability model using digoxin as a known substrate, and verapamil as a known inhibitor, was performed for studying the effect of the drugs on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function. Digoxin levels of intestinal perfusion samples were analyzed by HPLC method. </w:t>
      </w:r>
    </w:p>
    <w:p w:rsidR="00804BB9" w:rsidRPr="006D7C5C" w:rsidRDefault="00804BB9" w:rsidP="00804BB9">
      <w:pPr>
        <w:bidi w:val="0"/>
        <w:spacing w:before="100" w:beforeAutospacing="1" w:after="100" w:afterAutospacing="1" w:line="240" w:lineRule="auto"/>
        <w:jc w:val="both"/>
        <w:rPr>
          <w:rFonts w:asciiTheme="majorBidi" w:hAnsiTheme="majorBidi" w:cstheme="majorBidi"/>
          <w:sz w:val="24"/>
          <w:szCs w:val="24"/>
        </w:rPr>
      </w:pPr>
      <w:r w:rsidRPr="006D7C5C">
        <w:rPr>
          <w:rFonts w:asciiTheme="majorBidi" w:hAnsiTheme="majorBidi" w:cstheme="majorBidi"/>
          <w:b/>
          <w:bCs/>
          <w:sz w:val="24"/>
          <w:szCs w:val="24"/>
        </w:rPr>
        <w:t xml:space="preserve">Results: </w:t>
      </w:r>
      <w:r w:rsidRPr="006D7C5C">
        <w:rPr>
          <w:rFonts w:asciiTheme="majorBidi" w:hAnsiTheme="majorBidi" w:cstheme="majorBidi"/>
          <w:sz w:val="24"/>
          <w:szCs w:val="24"/>
        </w:rPr>
        <w:t xml:space="preserve">Rho-123 intracellular accumulation in </w:t>
      </w:r>
      <w:r w:rsidRPr="006D7C5C">
        <w:rPr>
          <w:rStyle w:val="highlight2"/>
          <w:rFonts w:asciiTheme="majorBidi" w:hAnsiTheme="majorBidi" w:cstheme="majorBidi"/>
        </w:rPr>
        <w:t xml:space="preserve">atorvastatin,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(100</w:t>
      </w:r>
      <w:r w:rsidRPr="006D7C5C">
        <w:rPr>
          <w:rFonts w:asciiTheme="majorBidi" w:eastAsia="Times New Roman" w:hAnsiTheme="majorBidi" w:cstheme="majorBidi"/>
          <w:sz w:val="24"/>
          <w:szCs w:val="24"/>
        </w:rPr>
        <w:t xml:space="preserve"> µM</w:t>
      </w:r>
      <w:r w:rsidRPr="006D7C5C">
        <w:rPr>
          <w:rFonts w:asciiTheme="majorBidi" w:hAnsiTheme="majorBidi" w:cstheme="majorBidi"/>
          <w:sz w:val="24"/>
          <w:szCs w:val="24"/>
        </w:rPr>
        <w:t>),  and verapamil (300</w:t>
      </w:r>
      <w:r w:rsidRPr="006D7C5C">
        <w:rPr>
          <w:rFonts w:asciiTheme="majorBidi" w:eastAsia="Times New Roman" w:hAnsiTheme="majorBidi" w:cstheme="majorBidi"/>
          <w:sz w:val="24"/>
          <w:szCs w:val="24"/>
        </w:rPr>
        <w:t xml:space="preserve"> µM</w:t>
      </w:r>
      <w:r w:rsidRPr="006D7C5C">
        <w:rPr>
          <w:rFonts w:asciiTheme="majorBidi" w:hAnsiTheme="majorBidi" w:cstheme="majorBidi"/>
          <w:sz w:val="24"/>
          <w:szCs w:val="24"/>
        </w:rPr>
        <w:t xml:space="preserve">) treated caco-2 cells were </w:t>
      </w:r>
      <w:r w:rsidRPr="006D7C5C">
        <w:rPr>
          <w:rFonts w:asciiTheme="majorBidi" w:eastAsia="Calibri" w:hAnsiTheme="majorBidi" w:cstheme="majorBidi"/>
          <w:sz w:val="24"/>
          <w:szCs w:val="24"/>
        </w:rPr>
        <w:t xml:space="preserve">646.0 ± 13.1, 681.7 ± 135.0 and 749.4 ± 32.1 </w:t>
      </w:r>
      <w:proofErr w:type="spellStart"/>
      <w:r w:rsidRPr="006D7C5C">
        <w:rPr>
          <w:rFonts w:asciiTheme="majorBidi" w:eastAsia="Calibri" w:hAnsiTheme="majorBidi" w:cstheme="majorBidi"/>
          <w:sz w:val="24"/>
          <w:szCs w:val="24"/>
        </w:rPr>
        <w:t>pg</w:t>
      </w:r>
      <w:proofErr w:type="spellEnd"/>
      <w:r w:rsidRPr="006D7C5C">
        <w:rPr>
          <w:rFonts w:asciiTheme="majorBidi" w:eastAsia="Calibri" w:hAnsiTheme="majorBidi" w:cstheme="majorBidi"/>
          <w:sz w:val="24"/>
          <w:szCs w:val="24"/>
        </w:rPr>
        <w:t xml:space="preserve">/mg protein, respectively  </w:t>
      </w:r>
      <w:r w:rsidRPr="006D7C5C">
        <w:rPr>
          <w:rFonts w:asciiTheme="majorBidi" w:hAnsiTheme="majorBidi" w:cstheme="majorBidi"/>
          <w:sz w:val="24"/>
          <w:szCs w:val="24"/>
        </w:rPr>
        <w:t>and were significantly higher than the control cells (</w:t>
      </w:r>
      <w:r w:rsidRPr="006D7C5C">
        <w:rPr>
          <w:rFonts w:asciiTheme="majorBidi" w:eastAsia="Calibri" w:hAnsiTheme="majorBidi" w:cstheme="majorBidi"/>
          <w:sz w:val="24"/>
          <w:szCs w:val="24"/>
        </w:rPr>
        <w:t>424.4 ± 89.3</w:t>
      </w:r>
      <w:r w:rsidRPr="006D7C5C">
        <w:rPr>
          <w:rFonts w:asciiTheme="majorBidi" w:hAnsiTheme="majorBidi" w:cstheme="majorBidi"/>
          <w:sz w:val="24"/>
          <w:szCs w:val="24"/>
        </w:rPr>
        <w:t>; P &lt; 0.05). In western-blotting results, 100</w:t>
      </w:r>
      <w:r w:rsidRPr="006D7C5C">
        <w:rPr>
          <w:rFonts w:asciiTheme="majorBidi" w:eastAsia="Times New Roman" w:hAnsiTheme="majorBidi" w:cstheme="majorBidi"/>
          <w:sz w:val="24"/>
          <w:szCs w:val="24"/>
        </w:rPr>
        <w:t xml:space="preserve"> µM</w:t>
      </w:r>
      <w:r w:rsidRPr="006D7C5C">
        <w:rPr>
          <w:rStyle w:val="highlight2"/>
          <w:rFonts w:asciiTheme="majorBidi" w:hAnsiTheme="majorBidi" w:cstheme="majorBidi"/>
        </w:rPr>
        <w:t xml:space="preserve"> atorvastatin and also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decreased the expression of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in caco-2 cells </w:t>
      </w:r>
      <w:r w:rsidRPr="006D7C5C">
        <w:rPr>
          <w:rFonts w:asciiTheme="majorBidi" w:hAnsiTheme="majorBidi" w:cstheme="majorBidi"/>
          <w:i/>
          <w:iCs/>
          <w:sz w:val="24"/>
          <w:szCs w:val="24"/>
        </w:rPr>
        <w:t>in vitro</w:t>
      </w:r>
      <w:r w:rsidRPr="006D7C5C">
        <w:rPr>
          <w:rFonts w:asciiTheme="majorBidi" w:hAnsiTheme="majorBidi" w:cstheme="majorBidi"/>
          <w:sz w:val="24"/>
          <w:szCs w:val="24"/>
        </w:rPr>
        <w:t>. Intestinal effective permeability (</w:t>
      </w:r>
      <w:proofErr w:type="spellStart"/>
      <w:r w:rsidRPr="006D7C5C">
        <w:rPr>
          <w:rFonts w:asciiTheme="majorBidi" w:hAnsiTheme="majorBidi" w:cstheme="majorBidi"/>
          <w:sz w:val="24"/>
          <w:szCs w:val="24"/>
        </w:rPr>
        <w:t>P</w:t>
      </w:r>
      <w:r w:rsidRPr="006D7C5C">
        <w:rPr>
          <w:rFonts w:asciiTheme="majorBidi" w:hAnsiTheme="majorBidi" w:cstheme="majorBidi"/>
          <w:sz w:val="24"/>
          <w:szCs w:val="24"/>
          <w:vertAlign w:val="subscript"/>
        </w:rPr>
        <w:t>eff</w:t>
      </w:r>
      <w:proofErr w:type="spellEnd"/>
      <w:r w:rsidRPr="006D7C5C">
        <w:rPr>
          <w:rFonts w:asciiTheme="majorBidi" w:hAnsiTheme="majorBidi" w:cstheme="majorBidi"/>
          <w:sz w:val="24"/>
          <w:szCs w:val="24"/>
        </w:rPr>
        <w:t xml:space="preserve">) of digoxin (20 </w:t>
      </w:r>
      <w:r w:rsidRPr="006D7C5C">
        <w:rPr>
          <w:rFonts w:asciiTheme="majorBidi" w:eastAsia="Times New Roman" w:hAnsiTheme="majorBidi" w:cstheme="majorBidi"/>
          <w:sz w:val="24"/>
          <w:szCs w:val="24"/>
        </w:rPr>
        <w:t>µM</w:t>
      </w:r>
      <w:r w:rsidRPr="006D7C5C">
        <w:rPr>
          <w:rFonts w:asciiTheme="majorBidi" w:hAnsiTheme="majorBidi" w:cstheme="majorBidi"/>
          <w:sz w:val="24"/>
          <w:szCs w:val="24"/>
        </w:rPr>
        <w:t xml:space="preserve">) </w:t>
      </w:r>
      <w:r w:rsidRPr="006D7C5C">
        <w:rPr>
          <w:rFonts w:asciiTheme="majorBidi" w:eastAsia="Times New Roman" w:hAnsiTheme="majorBidi" w:cstheme="majorBidi"/>
          <w:sz w:val="24"/>
          <w:szCs w:val="24"/>
        </w:rPr>
        <w:t xml:space="preserve">in presence of </w:t>
      </w:r>
      <w:r w:rsidRPr="006D7C5C">
        <w:rPr>
          <w:rFonts w:asciiTheme="majorBidi" w:hAnsiTheme="majorBidi" w:cstheme="majorBidi"/>
          <w:sz w:val="24"/>
          <w:szCs w:val="24"/>
        </w:rPr>
        <w:t>3 and 100</w:t>
      </w:r>
      <w:r w:rsidRPr="006D7C5C">
        <w:rPr>
          <w:rFonts w:asciiTheme="majorBidi" w:eastAsia="Times New Roman" w:hAnsiTheme="majorBidi" w:cstheme="majorBidi"/>
          <w:sz w:val="24"/>
          <w:szCs w:val="24"/>
        </w:rPr>
        <w:t xml:space="preserve"> µM </w:t>
      </w:r>
      <w:r w:rsidRPr="006D7C5C">
        <w:rPr>
          <w:rStyle w:val="highlight2"/>
          <w:rFonts w:asciiTheme="majorBidi" w:hAnsiTheme="majorBidi" w:cstheme="majorBidi"/>
        </w:rPr>
        <w:t>atorvastatin,</w:t>
      </w:r>
      <w:r w:rsidRPr="006D7C5C">
        <w:rPr>
          <w:rFonts w:asciiTheme="majorBidi" w:eastAsia="Times New Roman" w:hAnsiTheme="majorBidi" w:cstheme="majorBidi"/>
          <w:sz w:val="24"/>
          <w:szCs w:val="24"/>
        </w:rPr>
        <w:t xml:space="preserve">  </w:t>
      </w:r>
      <w:r w:rsidRPr="006D7C5C">
        <w:rPr>
          <w:rFonts w:asciiTheme="majorBidi" w:hAnsiTheme="majorBidi" w:cstheme="majorBidi"/>
          <w:sz w:val="24"/>
          <w:szCs w:val="24"/>
        </w:rPr>
        <w:t>10 and 100</w:t>
      </w:r>
      <w:r w:rsidRPr="006D7C5C">
        <w:rPr>
          <w:rFonts w:asciiTheme="majorBidi" w:eastAsia="Times New Roman" w:hAnsiTheme="majorBidi" w:cstheme="majorBidi"/>
          <w:sz w:val="24"/>
          <w:szCs w:val="24"/>
        </w:rPr>
        <w:t xml:space="preserve"> µM</w:t>
      </w:r>
      <w:r w:rsidRPr="006D7C5C">
        <w:rPr>
          <w:rStyle w:val="highlight2"/>
          <w:rFonts w:asciiTheme="majorBidi" w:hAnsiTheme="majorBidi" w:cstheme="majorBidi"/>
        </w:rPr>
        <w:t xml:space="preserve"> </w:t>
      </w:r>
      <w:proofErr w:type="spellStart"/>
      <w:r w:rsidRPr="006D7C5C">
        <w:rPr>
          <w:rFonts w:asciiTheme="majorBidi" w:hAnsiTheme="majorBidi" w:cstheme="majorBidi"/>
          <w:sz w:val="24"/>
          <w:szCs w:val="24"/>
        </w:rPr>
        <w:t>ezetimibe</w:t>
      </w:r>
      <w:proofErr w:type="spellEnd"/>
      <w:r w:rsidRPr="006D7C5C">
        <w:rPr>
          <w:rFonts w:asciiTheme="majorBidi" w:eastAsia="Times New Roman" w:hAnsiTheme="majorBidi" w:cstheme="majorBidi"/>
          <w:sz w:val="24"/>
          <w:szCs w:val="24"/>
        </w:rPr>
        <w:t>, and 300 µM</w:t>
      </w:r>
      <w:r w:rsidRPr="006D7C5C">
        <w:rPr>
          <w:rFonts w:asciiTheme="majorBidi" w:hAnsiTheme="majorBidi" w:cstheme="majorBidi"/>
          <w:sz w:val="24"/>
          <w:szCs w:val="24"/>
        </w:rPr>
        <w:t xml:space="preserve"> verapamil were significantly increased in compare with digoxin alone (p&lt;0.05 and p&lt;0.01). </w:t>
      </w:r>
    </w:p>
    <w:p w:rsidR="00804BB9" w:rsidRPr="006D7C5C" w:rsidRDefault="00804BB9" w:rsidP="00804BB9">
      <w:pPr>
        <w:bidi w:val="0"/>
        <w:spacing w:before="100" w:beforeAutospacing="1" w:after="100" w:afterAutospacing="1" w:line="240" w:lineRule="auto"/>
        <w:jc w:val="both"/>
        <w:rPr>
          <w:rFonts w:asciiTheme="majorBidi" w:hAnsiTheme="majorBidi" w:cstheme="majorBidi"/>
          <w:sz w:val="24"/>
          <w:szCs w:val="24"/>
        </w:rPr>
      </w:pPr>
      <w:r w:rsidRPr="006D7C5C">
        <w:rPr>
          <w:rFonts w:asciiTheme="majorBidi" w:hAnsiTheme="majorBidi" w:cstheme="majorBidi"/>
          <w:b/>
          <w:bCs/>
          <w:sz w:val="24"/>
          <w:szCs w:val="24"/>
        </w:rPr>
        <w:t xml:space="preserve">Conclusion: </w:t>
      </w:r>
      <w:r w:rsidRPr="006D7C5C">
        <w:rPr>
          <w:rFonts w:asciiTheme="majorBidi" w:hAnsiTheme="majorBidi" w:cstheme="majorBidi"/>
          <w:sz w:val="24"/>
          <w:szCs w:val="24"/>
        </w:rPr>
        <w:t xml:space="preserve">Our findings showed that </w:t>
      </w:r>
      <w:r w:rsidRPr="006D7C5C">
        <w:rPr>
          <w:rStyle w:val="highlight2"/>
          <w:rFonts w:asciiTheme="majorBidi" w:hAnsiTheme="majorBidi" w:cstheme="majorBidi"/>
          <w:sz w:val="24"/>
          <w:szCs w:val="24"/>
        </w:rPr>
        <w:t>atorvastatin</w:t>
      </w:r>
      <w:r w:rsidRPr="006D7C5C">
        <w:rPr>
          <w:rFonts w:asciiTheme="majorBidi" w:eastAsia="Calibri" w:hAnsiTheme="majorBidi" w:cstheme="majorBidi"/>
          <w:sz w:val="24"/>
          <w:szCs w:val="24"/>
        </w:rPr>
        <w:t xml:space="preserve"> and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inhibit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efflux activity </w:t>
      </w:r>
      <w:r w:rsidRPr="006D7C5C">
        <w:rPr>
          <w:rFonts w:asciiTheme="majorBidi" w:hAnsiTheme="majorBidi" w:cstheme="majorBidi"/>
          <w:i/>
          <w:iCs/>
          <w:sz w:val="24"/>
          <w:szCs w:val="24"/>
        </w:rPr>
        <w:t>in vitro</w:t>
      </w:r>
      <w:r w:rsidRPr="006D7C5C">
        <w:rPr>
          <w:rFonts w:asciiTheme="majorBidi" w:hAnsiTheme="majorBidi" w:cstheme="majorBidi"/>
          <w:sz w:val="24"/>
          <w:szCs w:val="24"/>
        </w:rPr>
        <w:t xml:space="preserve"> and </w:t>
      </w:r>
      <w:r w:rsidRPr="006D7C5C">
        <w:rPr>
          <w:rFonts w:asciiTheme="majorBidi" w:hAnsiTheme="majorBidi" w:cstheme="majorBidi"/>
          <w:i/>
          <w:iCs/>
          <w:sz w:val="24"/>
          <w:szCs w:val="24"/>
        </w:rPr>
        <w:t>in situ</w:t>
      </w:r>
      <w:r w:rsidRPr="006D7C5C">
        <w:rPr>
          <w:rFonts w:asciiTheme="majorBidi" w:hAnsiTheme="majorBidi" w:cstheme="majorBidi"/>
          <w:sz w:val="24"/>
          <w:szCs w:val="24"/>
        </w:rPr>
        <w:t>. Both of the drugs down regulate the expression of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w:t>
      </w:r>
      <w:r w:rsidRPr="006D7C5C">
        <w:rPr>
          <w:rFonts w:asciiTheme="majorBidi" w:hAnsiTheme="majorBidi" w:cstheme="majorBidi"/>
          <w:i/>
          <w:iCs/>
          <w:sz w:val="24"/>
          <w:szCs w:val="24"/>
        </w:rPr>
        <w:t>in vitro</w:t>
      </w:r>
      <w:r w:rsidRPr="006D7C5C">
        <w:rPr>
          <w:rFonts w:asciiTheme="majorBidi" w:hAnsiTheme="majorBidi" w:cstheme="majorBidi"/>
          <w:sz w:val="24"/>
          <w:szCs w:val="24"/>
        </w:rPr>
        <w:t>. The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inhibitory effects of </w:t>
      </w:r>
      <w:r w:rsidRPr="006D7C5C">
        <w:rPr>
          <w:rStyle w:val="highlight2"/>
          <w:rFonts w:asciiTheme="majorBidi" w:hAnsiTheme="majorBidi" w:cstheme="majorBidi"/>
          <w:sz w:val="24"/>
          <w:szCs w:val="24"/>
        </w:rPr>
        <w:t>atorvastatin</w:t>
      </w:r>
      <w:r w:rsidRPr="006D7C5C">
        <w:rPr>
          <w:rFonts w:asciiTheme="majorBidi" w:eastAsia="Calibri" w:hAnsiTheme="majorBidi" w:cstheme="majorBidi"/>
          <w:sz w:val="24"/>
          <w:szCs w:val="24"/>
        </w:rPr>
        <w:t xml:space="preserve"> and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must be considered for predicting potential drug–drug interactions. Further investigations are required to confirm our results and also clear the P-</w:t>
      </w:r>
      <w:proofErr w:type="spellStart"/>
      <w:r w:rsidRPr="006D7C5C">
        <w:rPr>
          <w:rFonts w:asciiTheme="majorBidi" w:hAnsiTheme="majorBidi" w:cstheme="majorBidi"/>
          <w:sz w:val="24"/>
          <w:szCs w:val="24"/>
        </w:rPr>
        <w:t>gp</w:t>
      </w:r>
      <w:proofErr w:type="spellEnd"/>
      <w:r w:rsidRPr="006D7C5C">
        <w:rPr>
          <w:rFonts w:asciiTheme="majorBidi" w:hAnsiTheme="majorBidi" w:cstheme="majorBidi"/>
          <w:sz w:val="24"/>
          <w:szCs w:val="24"/>
        </w:rPr>
        <w:t xml:space="preserve"> inhibitory mechanisms of </w:t>
      </w:r>
      <w:r w:rsidRPr="006D7C5C">
        <w:rPr>
          <w:rStyle w:val="highlight2"/>
          <w:rFonts w:asciiTheme="majorBidi" w:hAnsiTheme="majorBidi" w:cstheme="majorBidi"/>
          <w:sz w:val="24"/>
          <w:szCs w:val="24"/>
        </w:rPr>
        <w:t>atorvastatin</w:t>
      </w:r>
      <w:r w:rsidRPr="006D7C5C">
        <w:rPr>
          <w:rFonts w:asciiTheme="majorBidi" w:eastAsia="Calibri" w:hAnsiTheme="majorBidi" w:cstheme="majorBidi"/>
          <w:sz w:val="24"/>
          <w:szCs w:val="24"/>
        </w:rPr>
        <w:t xml:space="preserve"> and </w:t>
      </w:r>
      <w:proofErr w:type="spellStart"/>
      <w:r w:rsidRPr="006D7C5C">
        <w:rPr>
          <w:rFonts w:asciiTheme="majorBidi" w:hAnsiTheme="majorBidi" w:cstheme="majorBidi"/>
          <w:sz w:val="24"/>
          <w:szCs w:val="24"/>
        </w:rPr>
        <w:t>ezetimibe</w:t>
      </w:r>
      <w:proofErr w:type="spellEnd"/>
      <w:r w:rsidRPr="006D7C5C">
        <w:rPr>
          <w:rFonts w:asciiTheme="majorBidi" w:hAnsiTheme="majorBidi" w:cstheme="majorBidi"/>
          <w:sz w:val="24"/>
          <w:szCs w:val="24"/>
        </w:rPr>
        <w:t xml:space="preserve">. </w:t>
      </w:r>
    </w:p>
    <w:sectPr w:rsidR="00804BB9" w:rsidRPr="006D7C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BB9"/>
    <w:rsid w:val="004A2A89"/>
    <w:rsid w:val="00804BB9"/>
    <w:rsid w:val="00F56F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44409-1953-4999-8789-6BDC83AC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BB9"/>
    <w:pPr>
      <w:bidi/>
    </w:pPr>
    <w:rPr>
      <w:rFonts w:ascii="Times New Roman" w:hAnsi="Times New Roman" w:cs="B Lotu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2">
    <w:name w:val="highlight2"/>
    <w:basedOn w:val="DefaultParagraphFont"/>
    <w:rsid w:val="00804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Parvin</dc:creator>
  <cp:keywords/>
  <dc:description/>
  <cp:lastModifiedBy>Parvin</cp:lastModifiedBy>
  <cp:revision>2</cp:revision>
  <dcterms:created xsi:type="dcterms:W3CDTF">2015-10-24T07:15:00Z</dcterms:created>
  <dcterms:modified xsi:type="dcterms:W3CDTF">2015-10-24T07:21:00Z</dcterms:modified>
</cp:coreProperties>
</file>